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BD" w:rsidRPr="002C0C0E" w:rsidRDefault="004F3BBD" w:rsidP="004F3BBD">
      <w:pPr>
        <w:tabs>
          <w:tab w:val="left" w:pos="5087"/>
        </w:tabs>
        <w:jc w:val="center"/>
        <w:rPr>
          <w:b/>
          <w:sz w:val="28"/>
        </w:rPr>
      </w:pPr>
      <w:r w:rsidRPr="002C0C0E">
        <w:rPr>
          <w:b/>
          <w:sz w:val="28"/>
        </w:rPr>
        <w:t>Housing Panel work programme 2014-15</w:t>
      </w:r>
    </w:p>
    <w:p w:rsidR="004F3BBD" w:rsidRPr="002C0C0E" w:rsidRDefault="004F3BBD" w:rsidP="004F3BBD">
      <w:pPr>
        <w:rPr>
          <w:b/>
          <w:u w:val="single"/>
        </w:rPr>
      </w:pPr>
    </w:p>
    <w:p w:rsidR="004F3BBD" w:rsidRPr="002C0C0E" w:rsidRDefault="004F3BBD" w:rsidP="004F3BBD">
      <w:pPr>
        <w:ind w:left="720"/>
        <w:rPr>
          <w:b/>
          <w:u w:val="single"/>
        </w:rPr>
      </w:pPr>
      <w:r w:rsidRPr="002C0C0E">
        <w:rPr>
          <w:b/>
          <w:u w:val="single"/>
        </w:rPr>
        <w:t>Items for Housing Panel meetings</w:t>
      </w:r>
    </w:p>
    <w:p w:rsidR="004F3BBD" w:rsidRPr="002C0C0E" w:rsidRDefault="004F3BBD" w:rsidP="004F3BBD"/>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914"/>
      </w:tblGrid>
      <w:tr w:rsidR="004F3BBD" w:rsidRPr="002C0C0E" w:rsidTr="00A45CB4">
        <w:trPr>
          <w:trHeight w:val="404"/>
        </w:trPr>
        <w:tc>
          <w:tcPr>
            <w:tcW w:w="3119" w:type="dxa"/>
            <w:shd w:val="clear" w:color="auto" w:fill="auto"/>
            <w:vAlign w:val="center"/>
          </w:tcPr>
          <w:p w:rsidR="004F3BBD" w:rsidRPr="002C0C0E" w:rsidRDefault="004F3BBD" w:rsidP="00A45CB4">
            <w:pPr>
              <w:rPr>
                <w:b/>
              </w:rPr>
            </w:pPr>
            <w:r w:rsidRPr="002C0C0E">
              <w:rPr>
                <w:b/>
              </w:rPr>
              <w:t>Suggested Topic</w:t>
            </w:r>
          </w:p>
        </w:tc>
        <w:tc>
          <w:tcPr>
            <w:tcW w:w="10914" w:type="dxa"/>
            <w:shd w:val="clear" w:color="auto" w:fill="auto"/>
            <w:vAlign w:val="center"/>
          </w:tcPr>
          <w:p w:rsidR="004F3BBD" w:rsidRPr="002C0C0E" w:rsidRDefault="004F3BBD" w:rsidP="00A45CB4">
            <w:pPr>
              <w:rPr>
                <w:b/>
              </w:rPr>
            </w:pPr>
            <w:r w:rsidRPr="002C0C0E">
              <w:rPr>
                <w:b/>
              </w:rPr>
              <w:t>Suggested approach / area(s) for focus</w:t>
            </w:r>
          </w:p>
        </w:tc>
      </w:tr>
      <w:tr w:rsidR="004F3BBD" w:rsidRPr="002C0C0E" w:rsidTr="00A45CB4">
        <w:tc>
          <w:tcPr>
            <w:tcW w:w="3119" w:type="dxa"/>
            <w:shd w:val="clear" w:color="auto" w:fill="auto"/>
          </w:tcPr>
          <w:p w:rsidR="004F3BBD" w:rsidRPr="00FD6EAE" w:rsidRDefault="004F3BBD" w:rsidP="00A45CB4">
            <w:r w:rsidRPr="00FD6EAE">
              <w:t xml:space="preserve">Performance monitoring </w:t>
            </w:r>
          </w:p>
        </w:tc>
        <w:tc>
          <w:tcPr>
            <w:tcW w:w="10914" w:type="dxa"/>
            <w:shd w:val="clear" w:color="auto" w:fill="auto"/>
          </w:tcPr>
          <w:p w:rsidR="004F3BBD" w:rsidRPr="00FD6EAE" w:rsidRDefault="004F3BBD" w:rsidP="00A45CB4">
            <w:pPr>
              <w:ind w:left="60"/>
            </w:pPr>
            <w:r w:rsidRPr="00FD6EAE">
              <w:t>Regular monitoring of performance measures for Estates Regeneration, Housing Supply and Welfare Reform and Housing Crisis.</w:t>
            </w:r>
          </w:p>
        </w:tc>
      </w:tr>
      <w:tr w:rsidR="004F3BBD" w:rsidRPr="002C0C0E" w:rsidTr="00A45CB4">
        <w:tc>
          <w:tcPr>
            <w:tcW w:w="3119" w:type="dxa"/>
            <w:shd w:val="clear" w:color="auto" w:fill="auto"/>
          </w:tcPr>
          <w:p w:rsidR="004F3BBD" w:rsidRPr="00FD6EAE" w:rsidRDefault="004F3BBD" w:rsidP="00A45CB4">
            <w:r w:rsidRPr="00FD6EAE">
              <w:t>Housing Strategy</w:t>
            </w:r>
          </w:p>
        </w:tc>
        <w:tc>
          <w:tcPr>
            <w:tcW w:w="10914" w:type="dxa"/>
            <w:shd w:val="clear" w:color="auto" w:fill="auto"/>
          </w:tcPr>
          <w:p w:rsidR="004F3BBD" w:rsidRPr="00FD6EAE" w:rsidRDefault="004F3BBD" w:rsidP="00A45CB4">
            <w:pPr>
              <w:ind w:left="60"/>
            </w:pPr>
            <w:r w:rsidRPr="00FD6EAE">
              <w:t>Review headline priorities and sought outcomes in Housing Strategy at draft stage, and the action plan post-consultation.</w:t>
            </w:r>
          </w:p>
        </w:tc>
      </w:tr>
      <w:tr w:rsidR="004F3BBD" w:rsidRPr="002C0C0E" w:rsidTr="00A45CB4">
        <w:tc>
          <w:tcPr>
            <w:tcW w:w="3119" w:type="dxa"/>
            <w:shd w:val="clear" w:color="auto" w:fill="auto"/>
          </w:tcPr>
          <w:p w:rsidR="004F3BBD" w:rsidRPr="00FD6EAE" w:rsidRDefault="004F3BBD" w:rsidP="00A45CB4">
            <w:r w:rsidRPr="00FD6EAE">
              <w:t>Increasing the provision of affordable housing</w:t>
            </w:r>
          </w:p>
        </w:tc>
        <w:tc>
          <w:tcPr>
            <w:tcW w:w="10914" w:type="dxa"/>
            <w:shd w:val="clear" w:color="auto" w:fill="auto"/>
          </w:tcPr>
          <w:p w:rsidR="004F3BBD" w:rsidRPr="00FD6EAE" w:rsidRDefault="004F3BBD" w:rsidP="00A45CB4">
            <w:pPr>
              <w:ind w:left="60"/>
            </w:pPr>
            <w:r w:rsidRPr="00FD6EAE">
              <w:t>Monitoring of performance measures; scrutiny of the Housing Business Plan and the Housing Strategy; consider alternative options e.g. pre-</w:t>
            </w:r>
            <w:proofErr w:type="spellStart"/>
            <w:r w:rsidRPr="00FD6EAE">
              <w:t>fabs</w:t>
            </w:r>
            <w:proofErr w:type="spellEnd"/>
            <w:r w:rsidRPr="00FD6EAE">
              <w:t xml:space="preserve"> and ‘pods’; possible review topic.</w:t>
            </w:r>
          </w:p>
        </w:tc>
      </w:tr>
      <w:tr w:rsidR="004F3BBD" w:rsidRPr="002C0C0E" w:rsidTr="00A45CB4">
        <w:tc>
          <w:tcPr>
            <w:tcW w:w="3119" w:type="dxa"/>
            <w:shd w:val="clear" w:color="auto" w:fill="auto"/>
          </w:tcPr>
          <w:p w:rsidR="004F3BBD" w:rsidRPr="00FD6EAE" w:rsidRDefault="004F3BBD" w:rsidP="00A45CB4">
            <w:r w:rsidRPr="00FD6EAE">
              <w:t>Homelessness</w:t>
            </w:r>
          </w:p>
        </w:tc>
        <w:tc>
          <w:tcPr>
            <w:tcW w:w="10914" w:type="dxa"/>
            <w:shd w:val="clear" w:color="auto" w:fill="auto"/>
          </w:tcPr>
          <w:p w:rsidR="004F3BBD" w:rsidRPr="00FD6EAE" w:rsidRDefault="004F3BBD" w:rsidP="00A45CB4">
            <w:pPr>
              <w:ind w:left="60"/>
            </w:pPr>
            <w:r w:rsidRPr="00FD6EAE">
              <w:t>Monitoring of performance measures; scrutiny of the Housing Business Plan and Housing Strategy; pre-scrutiny of homelessness grant allocations; possible review topics.</w:t>
            </w:r>
          </w:p>
        </w:tc>
      </w:tr>
      <w:tr w:rsidR="004F3BBD" w:rsidRPr="002C0C0E" w:rsidTr="00A45CB4">
        <w:tc>
          <w:tcPr>
            <w:tcW w:w="3119" w:type="dxa"/>
            <w:shd w:val="clear" w:color="auto" w:fill="auto"/>
          </w:tcPr>
          <w:p w:rsidR="004F3BBD" w:rsidRPr="00FD6EAE" w:rsidRDefault="004F3BBD" w:rsidP="00A45CB4">
            <w:r w:rsidRPr="00FD6EAE">
              <w:t>Rent arrears</w:t>
            </w:r>
          </w:p>
        </w:tc>
        <w:tc>
          <w:tcPr>
            <w:tcW w:w="10914" w:type="dxa"/>
            <w:shd w:val="clear" w:color="auto" w:fill="auto"/>
          </w:tcPr>
          <w:p w:rsidR="004F3BBD" w:rsidRPr="00FD6EAE" w:rsidRDefault="004F3BBD" w:rsidP="00A45CB4">
            <w:pPr>
              <w:ind w:left="60"/>
            </w:pPr>
            <w:r w:rsidRPr="00FD6EAE">
              <w:t>Monitoring of performance measures; bi-annual update reports.</w:t>
            </w:r>
          </w:p>
        </w:tc>
      </w:tr>
      <w:tr w:rsidR="004F3BBD" w:rsidRPr="002C0C0E" w:rsidTr="00A45CB4">
        <w:tc>
          <w:tcPr>
            <w:tcW w:w="3119" w:type="dxa"/>
            <w:shd w:val="clear" w:color="auto" w:fill="auto"/>
          </w:tcPr>
          <w:p w:rsidR="004F3BBD" w:rsidRPr="00FD6EAE" w:rsidRDefault="004F3BBD" w:rsidP="00A45CB4">
            <w:r w:rsidRPr="00FD6EAE">
              <w:t>STAR survey results</w:t>
            </w:r>
          </w:p>
        </w:tc>
        <w:tc>
          <w:tcPr>
            <w:tcW w:w="10914" w:type="dxa"/>
            <w:shd w:val="clear" w:color="auto" w:fill="auto"/>
          </w:tcPr>
          <w:p w:rsidR="004F3BBD" w:rsidRPr="00FD6EAE" w:rsidRDefault="004F3BBD" w:rsidP="00A45CB4">
            <w:pPr>
              <w:ind w:left="60"/>
            </w:pPr>
            <w:r w:rsidRPr="00FD6EAE">
              <w:t>Monitoring of results.</w:t>
            </w:r>
          </w:p>
        </w:tc>
      </w:tr>
      <w:tr w:rsidR="004F3BBD" w:rsidRPr="002C0C0E" w:rsidTr="00A45CB4">
        <w:tc>
          <w:tcPr>
            <w:tcW w:w="3119" w:type="dxa"/>
            <w:shd w:val="clear" w:color="auto" w:fill="auto"/>
          </w:tcPr>
          <w:p w:rsidR="004F3BBD" w:rsidRPr="00FD6EAE" w:rsidRDefault="004F3BBD" w:rsidP="00A45CB4">
            <w:r w:rsidRPr="00FD6EAE">
              <w:t>Tackling under-occupancy</w:t>
            </w:r>
          </w:p>
        </w:tc>
        <w:tc>
          <w:tcPr>
            <w:tcW w:w="10914" w:type="dxa"/>
            <w:shd w:val="clear" w:color="auto" w:fill="auto"/>
          </w:tcPr>
          <w:p w:rsidR="004F3BBD" w:rsidRPr="00FD6EAE" w:rsidRDefault="004F3BBD" w:rsidP="00A45CB4">
            <w:r w:rsidRPr="00FD6EAE">
              <w:t xml:space="preserve"> Report on efforts to tackle under-occupancy; consider in rent arrears reports.</w:t>
            </w:r>
          </w:p>
        </w:tc>
      </w:tr>
      <w:tr w:rsidR="004F3BBD" w:rsidRPr="002C0C0E" w:rsidTr="00A45CB4">
        <w:tc>
          <w:tcPr>
            <w:tcW w:w="3119" w:type="dxa"/>
            <w:shd w:val="clear" w:color="auto" w:fill="auto"/>
          </w:tcPr>
          <w:p w:rsidR="004F3BBD" w:rsidRPr="00FD6EAE" w:rsidRDefault="004F3BBD" w:rsidP="00A45CB4">
            <w:r w:rsidRPr="00FD6EAE">
              <w:t>Oxford Standard</w:t>
            </w:r>
          </w:p>
        </w:tc>
        <w:tc>
          <w:tcPr>
            <w:tcW w:w="10914" w:type="dxa"/>
            <w:shd w:val="clear" w:color="auto" w:fill="auto"/>
          </w:tcPr>
          <w:p w:rsidR="004F3BBD" w:rsidRPr="00FD6EAE" w:rsidRDefault="004F3BBD" w:rsidP="00A45CB4">
            <w:pPr>
              <w:ind w:left="60"/>
            </w:pPr>
            <w:r w:rsidRPr="00FD6EAE">
              <w:t>To receive a progress update on the delivery of the Oxford Standard through the Asset Management Strategy and Action Plan, including an update on work to improve thermal efficiency in the Council’s housing stock.</w:t>
            </w:r>
          </w:p>
        </w:tc>
      </w:tr>
      <w:tr w:rsidR="004F3BBD" w:rsidRPr="002C0C0E" w:rsidTr="00A45CB4">
        <w:tc>
          <w:tcPr>
            <w:tcW w:w="3119" w:type="dxa"/>
            <w:shd w:val="clear" w:color="auto" w:fill="auto"/>
          </w:tcPr>
          <w:p w:rsidR="004F3BBD" w:rsidRPr="00FD6EAE" w:rsidRDefault="004F3BBD" w:rsidP="00A45CB4">
            <w:r w:rsidRPr="00FD6EAE">
              <w:t xml:space="preserve">Private sector licencing </w:t>
            </w:r>
          </w:p>
        </w:tc>
        <w:tc>
          <w:tcPr>
            <w:tcW w:w="10914" w:type="dxa"/>
            <w:shd w:val="clear" w:color="auto" w:fill="auto"/>
          </w:tcPr>
          <w:p w:rsidR="004F3BBD" w:rsidRPr="00FD6EAE" w:rsidRDefault="004F3BBD" w:rsidP="00A45CB4">
            <w:pPr>
              <w:ind w:left="60"/>
            </w:pPr>
            <w:r w:rsidRPr="00FD6EAE">
              <w:t>Update report on the scheme; consider views of landlords and PRS tenants.</w:t>
            </w:r>
          </w:p>
        </w:tc>
      </w:tr>
      <w:tr w:rsidR="004F3BBD" w:rsidRPr="002C0C0E" w:rsidTr="00A45CB4">
        <w:tc>
          <w:tcPr>
            <w:tcW w:w="3119" w:type="dxa"/>
            <w:shd w:val="clear" w:color="auto" w:fill="auto"/>
          </w:tcPr>
          <w:p w:rsidR="004F3BBD" w:rsidRPr="00FD6EAE" w:rsidRDefault="004F3BBD" w:rsidP="00A45CB4">
            <w:r w:rsidRPr="00FD6EAE">
              <w:t>Unlawful dwellings</w:t>
            </w:r>
          </w:p>
        </w:tc>
        <w:tc>
          <w:tcPr>
            <w:tcW w:w="10914" w:type="dxa"/>
            <w:shd w:val="clear" w:color="auto" w:fill="auto"/>
          </w:tcPr>
          <w:p w:rsidR="004F3BBD" w:rsidRPr="00FD6EAE" w:rsidRDefault="004F3BBD" w:rsidP="00A45CB4">
            <w:pPr>
              <w:ind w:left="60"/>
            </w:pPr>
            <w:r w:rsidRPr="00FD6EAE">
              <w:t>A report on the City Council’s approach to tackling illegal dwellings e.g. beds in sheds, given that funding ends in April 2015.</w:t>
            </w:r>
          </w:p>
        </w:tc>
      </w:tr>
      <w:tr w:rsidR="004F3BBD" w:rsidRPr="002C0C0E" w:rsidTr="00A45CB4">
        <w:tc>
          <w:tcPr>
            <w:tcW w:w="3119" w:type="dxa"/>
            <w:shd w:val="clear" w:color="auto" w:fill="auto"/>
          </w:tcPr>
          <w:p w:rsidR="004F3BBD" w:rsidRPr="00FD6EAE" w:rsidRDefault="004F3BBD" w:rsidP="00A45CB4">
            <w:r w:rsidRPr="00FD6EAE">
              <w:t>Repairs exemptions policy</w:t>
            </w:r>
          </w:p>
        </w:tc>
        <w:tc>
          <w:tcPr>
            <w:tcW w:w="10914" w:type="dxa"/>
            <w:shd w:val="clear" w:color="auto" w:fill="auto"/>
          </w:tcPr>
          <w:p w:rsidR="004F3BBD" w:rsidRPr="00FD6EAE" w:rsidRDefault="004F3BBD" w:rsidP="00A45CB4">
            <w:pPr>
              <w:ind w:left="60"/>
            </w:pPr>
            <w:r w:rsidRPr="00FD6EAE">
              <w:t>To scrutinise proposed changes to the current policy.</w:t>
            </w:r>
          </w:p>
        </w:tc>
      </w:tr>
      <w:tr w:rsidR="004F3BBD" w:rsidRPr="002C0C0E" w:rsidTr="00A45CB4">
        <w:tc>
          <w:tcPr>
            <w:tcW w:w="3119" w:type="dxa"/>
            <w:shd w:val="clear" w:color="auto" w:fill="auto"/>
          </w:tcPr>
          <w:p w:rsidR="004F3BBD" w:rsidRPr="00FD6EAE" w:rsidRDefault="004F3BBD" w:rsidP="00A45CB4">
            <w:r w:rsidRPr="00FD6EAE">
              <w:t>De-designation of 40+ accommodation</w:t>
            </w:r>
          </w:p>
        </w:tc>
        <w:tc>
          <w:tcPr>
            <w:tcW w:w="10914" w:type="dxa"/>
            <w:shd w:val="clear" w:color="auto" w:fill="auto"/>
          </w:tcPr>
          <w:p w:rsidR="004F3BBD" w:rsidRPr="00FD6EAE" w:rsidRDefault="004F3BBD" w:rsidP="00A45CB4">
            <w:pPr>
              <w:ind w:left="60"/>
            </w:pPr>
            <w:r w:rsidRPr="00FD6EAE">
              <w:t xml:space="preserve">Update report on the final phase of de-designating 40+ </w:t>
            </w:r>
            <w:proofErr w:type="gramStart"/>
            <w:r w:rsidRPr="00FD6EAE">
              <w:t>accommodation</w:t>
            </w:r>
            <w:proofErr w:type="gramEnd"/>
            <w:r w:rsidRPr="00FD6EAE">
              <w:t xml:space="preserve"> (expected in April 15).</w:t>
            </w:r>
          </w:p>
        </w:tc>
      </w:tr>
      <w:tr w:rsidR="004F3BBD" w:rsidRPr="002C0C0E" w:rsidTr="00A45CB4">
        <w:tc>
          <w:tcPr>
            <w:tcW w:w="3119" w:type="dxa"/>
            <w:shd w:val="clear" w:color="auto" w:fill="auto"/>
          </w:tcPr>
          <w:p w:rsidR="004F3BBD" w:rsidRPr="00FD6EAE" w:rsidRDefault="004F3BBD" w:rsidP="00A45CB4">
            <w:r w:rsidRPr="00FD6EAE">
              <w:t>Sheltered Housing</w:t>
            </w:r>
          </w:p>
        </w:tc>
        <w:tc>
          <w:tcPr>
            <w:tcW w:w="10914" w:type="dxa"/>
            <w:shd w:val="clear" w:color="auto" w:fill="auto"/>
          </w:tcPr>
          <w:p w:rsidR="004F3BBD" w:rsidRPr="00FD6EAE" w:rsidRDefault="004F3BBD" w:rsidP="00A45CB4">
            <w:pPr>
              <w:ind w:left="60"/>
            </w:pPr>
            <w:r w:rsidRPr="00FD6EAE">
              <w:t>To contribute to and monitor the customer profiling survey of residents in sheltered accommodation and how this data should inform future provision.</w:t>
            </w:r>
          </w:p>
        </w:tc>
      </w:tr>
      <w:tr w:rsidR="004F3BBD" w:rsidRPr="002C0C0E" w:rsidTr="00A45CB4">
        <w:tc>
          <w:tcPr>
            <w:tcW w:w="3119" w:type="dxa"/>
            <w:shd w:val="clear" w:color="auto" w:fill="auto"/>
          </w:tcPr>
          <w:p w:rsidR="004F3BBD" w:rsidRPr="00FD6EAE" w:rsidRDefault="004F3BBD" w:rsidP="00A45CB4">
            <w:r w:rsidRPr="00FD6EAE">
              <w:t>Fuel Poverty</w:t>
            </w:r>
          </w:p>
        </w:tc>
        <w:tc>
          <w:tcPr>
            <w:tcW w:w="10914" w:type="dxa"/>
            <w:shd w:val="clear" w:color="auto" w:fill="auto"/>
          </w:tcPr>
          <w:p w:rsidR="004F3BBD" w:rsidRPr="00FD6EAE" w:rsidRDefault="004F3BBD" w:rsidP="00A45CB4">
            <w:pPr>
              <w:ind w:left="60"/>
            </w:pPr>
            <w:r w:rsidRPr="00FD6EAE">
              <w:t>To receive an update on the City Council’s approach to the issue of Fuel Poverty. Commission/review research; consider during other items; possible review topic.</w:t>
            </w:r>
          </w:p>
        </w:tc>
      </w:tr>
      <w:tr w:rsidR="004F3BBD" w:rsidRPr="002C0C0E" w:rsidTr="00A45CB4">
        <w:tc>
          <w:tcPr>
            <w:tcW w:w="3119" w:type="dxa"/>
            <w:shd w:val="clear" w:color="auto" w:fill="auto"/>
          </w:tcPr>
          <w:p w:rsidR="004F3BBD" w:rsidRPr="00FD6EAE" w:rsidRDefault="004F3BBD" w:rsidP="00A45CB4">
            <w:r w:rsidRPr="00FD6EAE">
              <w:t>Supporting people</w:t>
            </w:r>
          </w:p>
        </w:tc>
        <w:tc>
          <w:tcPr>
            <w:tcW w:w="10914" w:type="dxa"/>
            <w:shd w:val="clear" w:color="auto" w:fill="auto"/>
          </w:tcPr>
          <w:p w:rsidR="004F3BBD" w:rsidRPr="00FD6EAE" w:rsidRDefault="004F3BBD" w:rsidP="00A45CB4">
            <w:r w:rsidRPr="00FD6EAE">
              <w:t xml:space="preserve"> Verbal updates on the joint commissioning of housing support services.</w:t>
            </w:r>
          </w:p>
        </w:tc>
      </w:tr>
    </w:tbl>
    <w:p w:rsidR="004F3BBD" w:rsidRDefault="004F3BBD" w:rsidP="004F3BBD">
      <w:pPr>
        <w:rPr>
          <w:b/>
          <w:u w:val="single"/>
        </w:rPr>
      </w:pPr>
    </w:p>
    <w:p w:rsidR="003A2626" w:rsidRPr="00FD6EAE" w:rsidRDefault="003A2626" w:rsidP="003A2626">
      <w:pPr>
        <w:ind w:left="720"/>
        <w:rPr>
          <w:b/>
          <w:u w:val="single"/>
        </w:rPr>
      </w:pPr>
      <w:r w:rsidRPr="00FD6EAE">
        <w:rPr>
          <w:b/>
          <w:u w:val="single"/>
        </w:rPr>
        <w:lastRenderedPageBreak/>
        <w:t>Draft Housing Panel Agenda Schedules</w:t>
      </w:r>
    </w:p>
    <w:p w:rsidR="003A2626" w:rsidRPr="00FD6EAE" w:rsidRDefault="003A2626" w:rsidP="003A2626">
      <w:pPr>
        <w:rPr>
          <w:b/>
          <w:sz w:val="16"/>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3A2626" w:rsidRPr="00FD6EAE" w:rsidTr="005D4B5A">
        <w:trPr>
          <w:trHeight w:val="490"/>
        </w:trPr>
        <w:tc>
          <w:tcPr>
            <w:tcW w:w="3119" w:type="dxa"/>
            <w:tcBorders>
              <w:top w:val="single" w:sz="4" w:space="0" w:color="auto"/>
              <w:left w:val="single" w:sz="4" w:space="0" w:color="auto"/>
              <w:bottom w:val="single" w:sz="4" w:space="0" w:color="auto"/>
              <w:right w:val="single" w:sz="4" w:space="0" w:color="auto"/>
            </w:tcBorders>
            <w:vAlign w:val="center"/>
            <w:hideMark/>
          </w:tcPr>
          <w:p w:rsidR="003A2626" w:rsidRPr="00FD6EAE" w:rsidRDefault="003A2626" w:rsidP="005D4B5A">
            <w:pPr>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3A2626" w:rsidRPr="00FD6EAE" w:rsidRDefault="003A2626" w:rsidP="005D4B5A">
            <w:pPr>
              <w:rPr>
                <w:rFonts w:eastAsia="Calibri" w:cs="Arial"/>
                <w:b/>
              </w:rPr>
            </w:pPr>
            <w:r w:rsidRPr="00FD6EAE">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3A2626" w:rsidRPr="00FD6EAE" w:rsidRDefault="003A2626" w:rsidP="005D4B5A">
            <w:pPr>
              <w:rPr>
                <w:rFonts w:eastAsia="Calibri" w:cs="Arial"/>
                <w:b/>
              </w:rPr>
            </w:pPr>
            <w:r w:rsidRPr="00FD6EAE">
              <w:rPr>
                <w:rFonts w:eastAsia="Calibri" w:cs="Arial"/>
                <w:b/>
              </w:rPr>
              <w:t>Lead Member; Officer(s)</w:t>
            </w:r>
          </w:p>
        </w:tc>
      </w:tr>
      <w:tr w:rsidR="004F3BBD" w:rsidRPr="00FD6EAE" w:rsidTr="005D4B5A">
        <w:trPr>
          <w:trHeight w:val="307"/>
        </w:trPr>
        <w:tc>
          <w:tcPr>
            <w:tcW w:w="3119" w:type="dxa"/>
            <w:tcBorders>
              <w:top w:val="single" w:sz="4" w:space="0" w:color="auto"/>
              <w:left w:val="single" w:sz="4" w:space="0" w:color="auto"/>
              <w:bottom w:val="single" w:sz="4" w:space="0" w:color="auto"/>
              <w:right w:val="single" w:sz="4" w:space="0" w:color="auto"/>
            </w:tcBorders>
            <w:hideMark/>
          </w:tcPr>
          <w:p w:rsidR="004F3BBD" w:rsidRPr="00FD6EAE" w:rsidRDefault="004F3BBD" w:rsidP="00A45CB4">
            <w:pPr>
              <w:rPr>
                <w:rFonts w:eastAsia="Calibri" w:cs="Arial"/>
              </w:rPr>
            </w:pPr>
            <w:r w:rsidRPr="00FD6EAE">
              <w:rPr>
                <w:rFonts w:eastAsia="Calibri" w:cs="Arial"/>
              </w:rPr>
              <w:t xml:space="preserve">4 February 2015, St </w:t>
            </w:r>
            <w:proofErr w:type="spellStart"/>
            <w:r w:rsidRPr="00FD6EAE">
              <w:rPr>
                <w:rFonts w:eastAsia="Calibri" w:cs="Arial"/>
              </w:rPr>
              <w:t>Aldate’s</w:t>
            </w:r>
            <w:proofErr w:type="spellEnd"/>
            <w:r w:rsidRPr="00FD6EAE">
              <w:rPr>
                <w:rFonts w:eastAsia="Calibri" w:cs="Arial"/>
              </w:rPr>
              <w:t xml:space="preserve"> Room, 5.30pm</w:t>
            </w:r>
          </w:p>
        </w:tc>
        <w:tc>
          <w:tcPr>
            <w:tcW w:w="6804" w:type="dxa"/>
            <w:tcBorders>
              <w:top w:val="single" w:sz="4" w:space="0" w:color="auto"/>
              <w:left w:val="single" w:sz="4" w:space="0" w:color="auto"/>
              <w:bottom w:val="single" w:sz="4" w:space="0" w:color="auto"/>
              <w:right w:val="single" w:sz="4" w:space="0" w:color="auto"/>
            </w:tcBorders>
          </w:tcPr>
          <w:p w:rsidR="004F3BBD" w:rsidRPr="00FD6EAE" w:rsidRDefault="004F3BBD" w:rsidP="004F3BBD">
            <w:pPr>
              <w:numPr>
                <w:ilvl w:val="0"/>
                <w:numId w:val="3"/>
              </w:numPr>
              <w:rPr>
                <w:rFonts w:eastAsia="Calibri" w:cs="Arial"/>
              </w:rPr>
            </w:pPr>
            <w:r w:rsidRPr="00FD6EAE">
              <w:rPr>
                <w:rFonts w:eastAsia="Calibri" w:cs="Arial"/>
              </w:rPr>
              <w:t>Unlawful dwellings</w:t>
            </w:r>
          </w:p>
          <w:p w:rsidR="004F3BBD" w:rsidRPr="00FD6EAE" w:rsidRDefault="004F3BBD" w:rsidP="00A45CB4">
            <w:pPr>
              <w:ind w:left="720"/>
              <w:contextualSpacing/>
              <w:rPr>
                <w:rFonts w:eastAsia="Calibri" w:cs="Arial"/>
              </w:rPr>
            </w:pPr>
          </w:p>
          <w:p w:rsidR="004F3BBD" w:rsidRDefault="004F3BBD" w:rsidP="004F3BBD">
            <w:pPr>
              <w:numPr>
                <w:ilvl w:val="0"/>
                <w:numId w:val="3"/>
              </w:numPr>
              <w:rPr>
                <w:rFonts w:eastAsia="Calibri" w:cs="Arial"/>
              </w:rPr>
            </w:pPr>
            <w:r w:rsidRPr="00FD6EAE">
              <w:rPr>
                <w:rFonts w:eastAsia="Calibri" w:cs="Arial"/>
              </w:rPr>
              <w:t>Tackling under-occupancy</w:t>
            </w:r>
          </w:p>
          <w:p w:rsidR="004F3BBD" w:rsidRPr="00382953" w:rsidRDefault="004F3BBD" w:rsidP="00382953">
            <w:pPr>
              <w:rPr>
                <w:rFonts w:eastAsia="Calibri" w:cs="Arial"/>
                <w:highlight w:val="yellow"/>
              </w:rPr>
            </w:pPr>
          </w:p>
        </w:tc>
        <w:tc>
          <w:tcPr>
            <w:tcW w:w="4110" w:type="dxa"/>
            <w:tcBorders>
              <w:top w:val="single" w:sz="4" w:space="0" w:color="auto"/>
              <w:left w:val="single" w:sz="4" w:space="0" w:color="auto"/>
              <w:bottom w:val="single" w:sz="4" w:space="0" w:color="auto"/>
              <w:right w:val="single" w:sz="4" w:space="0" w:color="auto"/>
            </w:tcBorders>
          </w:tcPr>
          <w:p w:rsidR="004F3BBD" w:rsidRPr="00FD6EAE" w:rsidRDefault="004F3BBD" w:rsidP="00A45CB4">
            <w:pPr>
              <w:rPr>
                <w:rFonts w:eastAsia="Calibri" w:cs="Arial"/>
              </w:rPr>
            </w:pPr>
            <w:r w:rsidRPr="00FD6EAE">
              <w:rPr>
                <w:rFonts w:eastAsia="Calibri" w:cs="Arial"/>
              </w:rPr>
              <w:t>Ian Wright</w:t>
            </w:r>
          </w:p>
          <w:p w:rsidR="004F3BBD" w:rsidRPr="00FD6EAE" w:rsidRDefault="004F3BBD" w:rsidP="00A45CB4">
            <w:pPr>
              <w:rPr>
                <w:rFonts w:eastAsia="Calibri" w:cs="Arial"/>
              </w:rPr>
            </w:pPr>
          </w:p>
          <w:p w:rsidR="004F3BBD" w:rsidRDefault="004F3BBD" w:rsidP="00A45CB4">
            <w:pPr>
              <w:rPr>
                <w:rFonts w:eastAsia="Calibri" w:cs="Arial"/>
              </w:rPr>
            </w:pPr>
            <w:r w:rsidRPr="00FD6EAE">
              <w:rPr>
                <w:rFonts w:eastAsia="Calibri" w:cs="Arial"/>
              </w:rPr>
              <w:t>Bill Graves</w:t>
            </w:r>
          </w:p>
          <w:p w:rsidR="004F3BBD" w:rsidRPr="00FD6EAE" w:rsidRDefault="004F3BBD" w:rsidP="00382953">
            <w:pPr>
              <w:rPr>
                <w:rFonts w:eastAsia="Calibri" w:cs="Arial"/>
                <w:highlight w:val="yellow"/>
              </w:rPr>
            </w:pPr>
          </w:p>
        </w:tc>
      </w:tr>
      <w:tr w:rsidR="004F3BBD" w:rsidRPr="00FD6EAE" w:rsidTr="005D4B5A">
        <w:trPr>
          <w:trHeight w:val="307"/>
        </w:trPr>
        <w:tc>
          <w:tcPr>
            <w:tcW w:w="3119" w:type="dxa"/>
            <w:tcBorders>
              <w:top w:val="single" w:sz="4" w:space="0" w:color="auto"/>
              <w:left w:val="single" w:sz="4" w:space="0" w:color="auto"/>
              <w:bottom w:val="single" w:sz="4" w:space="0" w:color="auto"/>
              <w:right w:val="single" w:sz="4" w:space="0" w:color="auto"/>
            </w:tcBorders>
          </w:tcPr>
          <w:p w:rsidR="004F3BBD" w:rsidRPr="00FD6EAE" w:rsidRDefault="004F3BBD" w:rsidP="00A45CB4">
            <w:pPr>
              <w:rPr>
                <w:rFonts w:eastAsia="Calibri" w:cs="Arial"/>
              </w:rPr>
            </w:pPr>
            <w:r>
              <w:rPr>
                <w:rFonts w:eastAsia="Calibri" w:cs="Arial"/>
              </w:rPr>
              <w:t>24 March 2015, Judges Room, 5pm</w:t>
            </w:r>
          </w:p>
        </w:tc>
        <w:tc>
          <w:tcPr>
            <w:tcW w:w="6804" w:type="dxa"/>
            <w:tcBorders>
              <w:top w:val="single" w:sz="4" w:space="0" w:color="auto"/>
              <w:left w:val="single" w:sz="4" w:space="0" w:color="auto"/>
              <w:bottom w:val="single" w:sz="4" w:space="0" w:color="auto"/>
              <w:right w:val="single" w:sz="4" w:space="0" w:color="auto"/>
            </w:tcBorders>
          </w:tcPr>
          <w:p w:rsidR="00382953" w:rsidRDefault="00382953" w:rsidP="004F3BBD">
            <w:pPr>
              <w:pStyle w:val="ListParagraph"/>
              <w:numPr>
                <w:ilvl w:val="0"/>
                <w:numId w:val="6"/>
              </w:numPr>
              <w:rPr>
                <w:rFonts w:eastAsia="Calibri" w:cs="Arial"/>
              </w:rPr>
            </w:pPr>
            <w:r>
              <w:rPr>
                <w:rFonts w:eastAsia="Calibri" w:cs="Arial"/>
              </w:rPr>
              <w:t>Housing Strategy</w:t>
            </w:r>
          </w:p>
          <w:p w:rsidR="00382953" w:rsidRDefault="00382953" w:rsidP="00382953">
            <w:pPr>
              <w:pStyle w:val="ListParagraph"/>
              <w:rPr>
                <w:rFonts w:eastAsia="Calibri" w:cs="Arial"/>
              </w:rPr>
            </w:pPr>
          </w:p>
          <w:p w:rsidR="004F3BBD" w:rsidRDefault="004F3BBD" w:rsidP="004F3BBD">
            <w:pPr>
              <w:pStyle w:val="ListParagraph"/>
              <w:numPr>
                <w:ilvl w:val="0"/>
                <w:numId w:val="6"/>
              </w:numPr>
              <w:rPr>
                <w:rFonts w:eastAsia="Calibri" w:cs="Arial"/>
              </w:rPr>
            </w:pPr>
            <w:r>
              <w:rPr>
                <w:rFonts w:eastAsia="Calibri" w:cs="Arial"/>
              </w:rPr>
              <w:t>Non-statutory homelessness services</w:t>
            </w:r>
          </w:p>
          <w:p w:rsidR="004F3BBD" w:rsidRDefault="004F3BBD" w:rsidP="00A45CB4">
            <w:pPr>
              <w:pStyle w:val="ListParagraph"/>
              <w:rPr>
                <w:rFonts w:eastAsia="Calibri" w:cs="Arial"/>
              </w:rPr>
            </w:pPr>
          </w:p>
          <w:p w:rsidR="004F3BBD" w:rsidRPr="009D0111" w:rsidRDefault="004F3BBD" w:rsidP="004F3BBD">
            <w:pPr>
              <w:pStyle w:val="ListParagraph"/>
              <w:numPr>
                <w:ilvl w:val="0"/>
                <w:numId w:val="6"/>
              </w:numPr>
              <w:rPr>
                <w:rFonts w:eastAsia="Calibri" w:cs="Arial"/>
              </w:rPr>
            </w:pPr>
            <w:r>
              <w:rPr>
                <w:rFonts w:eastAsia="Calibri" w:cs="Arial"/>
              </w:rPr>
              <w:t>De-designation review year 4</w:t>
            </w:r>
          </w:p>
        </w:tc>
        <w:tc>
          <w:tcPr>
            <w:tcW w:w="4110" w:type="dxa"/>
            <w:tcBorders>
              <w:top w:val="single" w:sz="4" w:space="0" w:color="auto"/>
              <w:left w:val="single" w:sz="4" w:space="0" w:color="auto"/>
              <w:bottom w:val="single" w:sz="4" w:space="0" w:color="auto"/>
              <w:right w:val="single" w:sz="4" w:space="0" w:color="auto"/>
            </w:tcBorders>
          </w:tcPr>
          <w:p w:rsidR="00382953" w:rsidRDefault="00382953" w:rsidP="00A45CB4">
            <w:pPr>
              <w:rPr>
                <w:rFonts w:eastAsia="Calibri" w:cs="Arial"/>
              </w:rPr>
            </w:pPr>
            <w:r>
              <w:rPr>
                <w:rFonts w:eastAsia="Calibri" w:cs="Arial"/>
              </w:rPr>
              <w:t>TBC</w:t>
            </w:r>
            <w:bookmarkStart w:id="0" w:name="_GoBack"/>
            <w:bookmarkEnd w:id="0"/>
          </w:p>
          <w:p w:rsidR="00382953" w:rsidRDefault="00382953" w:rsidP="00A45CB4">
            <w:pPr>
              <w:rPr>
                <w:rFonts w:eastAsia="Calibri" w:cs="Arial"/>
              </w:rPr>
            </w:pPr>
          </w:p>
          <w:p w:rsidR="004F3BBD" w:rsidRDefault="004F3BBD" w:rsidP="00A45CB4">
            <w:pPr>
              <w:rPr>
                <w:rFonts w:eastAsia="Calibri" w:cs="Arial"/>
              </w:rPr>
            </w:pPr>
            <w:proofErr w:type="spellStart"/>
            <w:r>
              <w:rPr>
                <w:rFonts w:eastAsia="Calibri" w:cs="Arial"/>
              </w:rPr>
              <w:t>Shaibur</w:t>
            </w:r>
            <w:proofErr w:type="spellEnd"/>
            <w:r>
              <w:rPr>
                <w:rFonts w:eastAsia="Calibri" w:cs="Arial"/>
              </w:rPr>
              <w:t xml:space="preserve"> </w:t>
            </w:r>
            <w:proofErr w:type="spellStart"/>
            <w:r>
              <w:rPr>
                <w:rFonts w:eastAsia="Calibri" w:cs="Arial"/>
              </w:rPr>
              <w:t>Rahman</w:t>
            </w:r>
            <w:proofErr w:type="spellEnd"/>
          </w:p>
          <w:p w:rsidR="004F3BBD" w:rsidRDefault="004F3BBD" w:rsidP="00A45CB4">
            <w:pPr>
              <w:rPr>
                <w:rFonts w:eastAsia="Calibri" w:cs="Arial"/>
              </w:rPr>
            </w:pPr>
          </w:p>
          <w:p w:rsidR="004F3BBD" w:rsidRDefault="004F3BBD" w:rsidP="00A45CB4">
            <w:pPr>
              <w:rPr>
                <w:rFonts w:eastAsia="Calibri" w:cs="Arial"/>
              </w:rPr>
            </w:pPr>
            <w:r>
              <w:rPr>
                <w:rFonts w:eastAsia="Calibri" w:cs="Arial"/>
              </w:rPr>
              <w:t>Tom Porter</w:t>
            </w:r>
          </w:p>
          <w:p w:rsidR="004F3BBD" w:rsidRPr="00FD6EAE" w:rsidRDefault="004F3BBD" w:rsidP="00A45CB4">
            <w:pPr>
              <w:rPr>
                <w:rFonts w:eastAsia="Calibri" w:cs="Arial"/>
              </w:rPr>
            </w:pPr>
          </w:p>
        </w:tc>
      </w:tr>
    </w:tbl>
    <w:p w:rsidR="003A2626" w:rsidRPr="00FD6EAE" w:rsidRDefault="003A2626" w:rsidP="003A2626"/>
    <w:p w:rsidR="003A2626" w:rsidRPr="009A39FE" w:rsidRDefault="009A39FE" w:rsidP="003A2626">
      <w:pPr>
        <w:rPr>
          <w:b/>
          <w:i/>
        </w:rPr>
      </w:pPr>
      <w:r>
        <w:rPr>
          <w:b/>
          <w:i/>
        </w:rPr>
        <w:t>2015/16 dates TBC</w:t>
      </w:r>
    </w:p>
    <w:sectPr w:rsidR="003A2626" w:rsidRPr="009A39FE" w:rsidSect="006B01A7">
      <w:headerReference w:type="first" r:id="rId9"/>
      <w:pgSz w:w="16838" w:h="11906" w:orient="landscape"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70" w:rsidRDefault="008E3770" w:rsidP="008E3770">
      <w:r>
        <w:separator/>
      </w:r>
    </w:p>
  </w:endnote>
  <w:endnote w:type="continuationSeparator" w:id="0">
    <w:p w:rsidR="008E3770" w:rsidRDefault="008E3770" w:rsidP="008E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70" w:rsidRDefault="008E3770" w:rsidP="008E3770">
      <w:r>
        <w:separator/>
      </w:r>
    </w:p>
  </w:footnote>
  <w:footnote w:type="continuationSeparator" w:id="0">
    <w:p w:rsidR="008E3770" w:rsidRDefault="008E3770" w:rsidP="008E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A7" w:rsidRDefault="004F3BBD" w:rsidP="006A63A6">
    <w:pPr>
      <w:pStyle w:val="Header"/>
      <w:jc w:val="right"/>
    </w:pPr>
    <w:r>
      <w:t>2</w:t>
    </w:r>
    <w:r w:rsidR="009B65E0">
      <w:t>7</w:t>
    </w:r>
    <w:r w:rsidR="008E3770">
      <w:t xml:space="preserve"> </w:t>
    </w:r>
    <w:r w:rsidR="003A2626">
      <w:t xml:space="preserve">January </w:t>
    </w:r>
    <w:r w:rsidR="008E3770">
      <w:t>201</w:t>
    </w:r>
    <w:r w:rsidR="003A2626">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C6D"/>
    <w:multiLevelType w:val="hybridMultilevel"/>
    <w:tmpl w:val="9B16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96AD4"/>
    <w:multiLevelType w:val="hybridMultilevel"/>
    <w:tmpl w:val="489C03E4"/>
    <w:lvl w:ilvl="0" w:tplc="61CAE582">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C834DB"/>
    <w:multiLevelType w:val="hybridMultilevel"/>
    <w:tmpl w:val="CC6A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5235D8"/>
    <w:multiLevelType w:val="hybridMultilevel"/>
    <w:tmpl w:val="302C5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290E00"/>
    <w:multiLevelType w:val="hybridMultilevel"/>
    <w:tmpl w:val="0F7A1C7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716E70"/>
    <w:multiLevelType w:val="hybridMultilevel"/>
    <w:tmpl w:val="41722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70"/>
    <w:rsid w:val="000B4310"/>
    <w:rsid w:val="00382953"/>
    <w:rsid w:val="003A2626"/>
    <w:rsid w:val="004000D7"/>
    <w:rsid w:val="004E0C1E"/>
    <w:rsid w:val="004F3BBD"/>
    <w:rsid w:val="00504E43"/>
    <w:rsid w:val="00564918"/>
    <w:rsid w:val="007908F4"/>
    <w:rsid w:val="008A22C6"/>
    <w:rsid w:val="008E3770"/>
    <w:rsid w:val="009A39FE"/>
    <w:rsid w:val="009B65E0"/>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2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770"/>
    <w:pPr>
      <w:tabs>
        <w:tab w:val="center" w:pos="4513"/>
        <w:tab w:val="right" w:pos="9026"/>
      </w:tabs>
    </w:pPr>
  </w:style>
  <w:style w:type="character" w:customStyle="1" w:styleId="HeaderChar">
    <w:name w:val="Header Char"/>
    <w:basedOn w:val="DefaultParagraphFont"/>
    <w:link w:val="Header"/>
    <w:uiPriority w:val="99"/>
    <w:rsid w:val="008E3770"/>
    <w:rPr>
      <w:rFonts w:eastAsia="Times New Roman" w:cs="Times New Roman"/>
    </w:rPr>
  </w:style>
  <w:style w:type="paragraph" w:styleId="Footer">
    <w:name w:val="footer"/>
    <w:basedOn w:val="Normal"/>
    <w:link w:val="FooterChar"/>
    <w:uiPriority w:val="99"/>
    <w:unhideWhenUsed/>
    <w:rsid w:val="008E3770"/>
    <w:pPr>
      <w:tabs>
        <w:tab w:val="center" w:pos="4513"/>
        <w:tab w:val="right" w:pos="9026"/>
      </w:tabs>
    </w:pPr>
  </w:style>
  <w:style w:type="character" w:customStyle="1" w:styleId="FooterChar">
    <w:name w:val="Footer Char"/>
    <w:basedOn w:val="DefaultParagraphFont"/>
    <w:link w:val="Footer"/>
    <w:uiPriority w:val="99"/>
    <w:rsid w:val="008E3770"/>
  </w:style>
  <w:style w:type="paragraph" w:styleId="ListParagraph">
    <w:name w:val="List Paragraph"/>
    <w:basedOn w:val="Normal"/>
    <w:uiPriority w:val="34"/>
    <w:qFormat/>
    <w:rsid w:val="003A2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2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770"/>
    <w:pPr>
      <w:tabs>
        <w:tab w:val="center" w:pos="4513"/>
        <w:tab w:val="right" w:pos="9026"/>
      </w:tabs>
    </w:pPr>
  </w:style>
  <w:style w:type="character" w:customStyle="1" w:styleId="HeaderChar">
    <w:name w:val="Header Char"/>
    <w:basedOn w:val="DefaultParagraphFont"/>
    <w:link w:val="Header"/>
    <w:uiPriority w:val="99"/>
    <w:rsid w:val="008E3770"/>
    <w:rPr>
      <w:rFonts w:eastAsia="Times New Roman" w:cs="Times New Roman"/>
    </w:rPr>
  </w:style>
  <w:style w:type="paragraph" w:styleId="Footer">
    <w:name w:val="footer"/>
    <w:basedOn w:val="Normal"/>
    <w:link w:val="FooterChar"/>
    <w:uiPriority w:val="99"/>
    <w:unhideWhenUsed/>
    <w:rsid w:val="008E3770"/>
    <w:pPr>
      <w:tabs>
        <w:tab w:val="center" w:pos="4513"/>
        <w:tab w:val="right" w:pos="9026"/>
      </w:tabs>
    </w:pPr>
  </w:style>
  <w:style w:type="character" w:customStyle="1" w:styleId="FooterChar">
    <w:name w:val="Footer Char"/>
    <w:basedOn w:val="DefaultParagraphFont"/>
    <w:link w:val="Footer"/>
    <w:uiPriority w:val="99"/>
    <w:rsid w:val="008E3770"/>
  </w:style>
  <w:style w:type="paragraph" w:styleId="ListParagraph">
    <w:name w:val="List Paragraph"/>
    <w:basedOn w:val="Normal"/>
    <w:uiPriority w:val="34"/>
    <w:qFormat/>
    <w:rsid w:val="003A2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4AEA-6B5E-4F78-B170-9E61034E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11A077BE</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8</cp:revision>
  <dcterms:created xsi:type="dcterms:W3CDTF">2015-01-09T12:45:00Z</dcterms:created>
  <dcterms:modified xsi:type="dcterms:W3CDTF">2015-01-27T14:59:00Z</dcterms:modified>
</cp:coreProperties>
</file>